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3107F1" w:rsidP="001C025D" w:rsidRDefault="000D6238" w14:paraId="1C6D12AE" w14:textId="7CD63BAD">
      <w:pPr>
        <w:pStyle w:val="Title"/>
      </w:pPr>
      <w:r>
        <w:t>Price Heat Maps</w:t>
      </w:r>
    </w:p>
    <w:p w:rsidR="000D6238" w:rsidRDefault="000D6238" w14:paraId="1927DF79" w14:textId="61D54901">
      <w:r>
        <w:t>All prices are in $2018 and for zone NP15</w:t>
      </w:r>
    </w:p>
    <w:p w:rsidR="001C025D" w:rsidP="001C025D" w:rsidRDefault="001C025D" w14:paraId="4E5E8B45" w14:textId="25C133E3">
      <w:pPr>
        <w:pStyle w:val="Heading1"/>
      </w:pPr>
      <w:r>
        <w:t>DA Energy Prices</w:t>
      </w:r>
    </w:p>
    <w:p w:rsidR="008C61AA" w:rsidRDefault="000D6238" w14:paraId="45DA36BB" w14:textId="590D751D">
      <w:r>
        <w:t>Historical 2021</w:t>
      </w:r>
    </w:p>
    <w:p w:rsidR="00015151" w:rsidRDefault="00015151" w14:paraId="76FBEF9E" w14:textId="6DC18041">
      <w:r>
        <w:rPr>
          <w:noProof/>
        </w:rPr>
        <w:drawing>
          <wp:inline distT="0" distB="0" distL="0" distR="0" wp14:anchorId="2BD53133" wp14:editId="0FDEB48F">
            <wp:extent cx="5931535" cy="18700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1535" cy="1870075"/>
                    </a:xfrm>
                    <a:prstGeom prst="rect">
                      <a:avLst/>
                    </a:prstGeom>
                    <a:noFill/>
                    <a:ln>
                      <a:noFill/>
                    </a:ln>
                  </pic:spPr>
                </pic:pic>
              </a:graphicData>
            </a:graphic>
          </wp:inline>
        </w:drawing>
      </w:r>
    </w:p>
    <w:p w:rsidR="004A7079" w:rsidRDefault="000D6238" w14:paraId="56BB90FF" w14:textId="0886C71B">
      <w:r>
        <w:t>Scarcity Adjusted 2022</w:t>
      </w:r>
    </w:p>
    <w:p w:rsidR="00DF10E2" w:rsidRDefault="00DF10E2" w14:paraId="471174E9" w14:textId="128CFBB3">
      <w:r>
        <w:rPr>
          <w:noProof/>
        </w:rPr>
        <w:drawing>
          <wp:inline distT="0" distB="0" distL="0" distR="0" wp14:anchorId="6D0A8594" wp14:editId="6FF48486">
            <wp:extent cx="5930265" cy="18713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0265" cy="1871345"/>
                    </a:xfrm>
                    <a:prstGeom prst="rect">
                      <a:avLst/>
                    </a:prstGeom>
                    <a:noFill/>
                    <a:ln>
                      <a:noFill/>
                    </a:ln>
                  </pic:spPr>
                </pic:pic>
              </a:graphicData>
            </a:graphic>
          </wp:inline>
        </w:drawing>
      </w:r>
    </w:p>
    <w:p w:rsidR="00224208" w:rsidRDefault="000D6238" w14:paraId="68BEBD49" w14:textId="395B41C5">
      <w:r>
        <w:t>Scarcity Adjusted</w:t>
      </w:r>
      <w:r w:rsidR="2EFB1B9F">
        <w:t xml:space="preserve"> </w:t>
      </w:r>
      <w:r>
        <w:t>2030</w:t>
      </w:r>
    </w:p>
    <w:p w:rsidR="00780383" w:rsidRDefault="00780383" w14:paraId="1894E093" w14:textId="3618A1A1">
      <w:r>
        <w:rPr>
          <w:noProof/>
        </w:rPr>
        <w:drawing>
          <wp:inline distT="0" distB="0" distL="0" distR="0" wp14:anchorId="69FD680A" wp14:editId="398D3D92">
            <wp:extent cx="5930265" cy="1871345"/>
            <wp:effectExtent l="0" t="0" r="0" b="0"/>
            <wp:docPr id="6" name="Picture 6"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alendar&#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0265" cy="1871345"/>
                    </a:xfrm>
                    <a:prstGeom prst="rect">
                      <a:avLst/>
                    </a:prstGeom>
                    <a:noFill/>
                    <a:ln>
                      <a:noFill/>
                    </a:ln>
                  </pic:spPr>
                </pic:pic>
              </a:graphicData>
            </a:graphic>
          </wp:inline>
        </w:drawing>
      </w:r>
    </w:p>
    <w:p w:rsidR="00F7352E" w:rsidRDefault="000D6238" w14:paraId="57DAA856" w14:textId="40F94A80">
      <w:r>
        <w:t>Scarcity Adjusted</w:t>
      </w:r>
      <w:r w:rsidR="2EFB1B9F">
        <w:t xml:space="preserve"> </w:t>
      </w:r>
      <w:r>
        <w:t>2045</w:t>
      </w:r>
    </w:p>
    <w:p w:rsidR="00780383" w:rsidRDefault="00780383" w14:paraId="28CE0402" w14:textId="512737C8">
      <w:r>
        <w:rPr>
          <w:noProof/>
        </w:rPr>
        <w:drawing>
          <wp:inline distT="0" distB="0" distL="0" distR="0" wp14:anchorId="398744AC" wp14:editId="5746C603">
            <wp:extent cx="5931535" cy="18700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1535" cy="1870075"/>
                    </a:xfrm>
                    <a:prstGeom prst="rect">
                      <a:avLst/>
                    </a:prstGeom>
                    <a:noFill/>
                    <a:ln>
                      <a:noFill/>
                    </a:ln>
                  </pic:spPr>
                </pic:pic>
              </a:graphicData>
            </a:graphic>
          </wp:inline>
        </w:drawing>
      </w:r>
    </w:p>
    <w:p w:rsidR="008227BD" w:rsidP="008227BD" w:rsidRDefault="008227BD" w14:paraId="06287A53" w14:textId="0666EA0C">
      <w:pPr>
        <w:pStyle w:val="Heading1"/>
      </w:pPr>
      <w:r w:rsidR="45ADCBF8">
        <w:rPr/>
        <w:t>Ancillary Services (AS) Prices</w:t>
      </w:r>
    </w:p>
    <w:p w:rsidR="008227BD" w:rsidP="008227BD" w:rsidRDefault="008227BD" w14:paraId="043D2336" w14:textId="33D8B20C">
      <w:r w:rsidR="45ADCBF8">
        <w:rPr/>
        <w:t xml:space="preserve">The ancillary services prices are directly from SERVM without any scarcity adjustment. The current set of AS prices still require fine tuning and CPUC SERVM team is going to work on it with </w:t>
      </w:r>
      <w:proofErr w:type="spellStart"/>
      <w:r w:rsidR="45ADCBF8">
        <w:rPr/>
        <w:t>Astrape</w:t>
      </w:r>
      <w:proofErr w:type="spellEnd"/>
      <w:r w:rsidR="45ADCBF8">
        <w:rPr/>
        <w:t xml:space="preserve"> to refine the AS price forecasts for use in the 2022 ACC update. </w:t>
      </w:r>
    </w:p>
    <w:p w:rsidRPr="005A4408" w:rsidR="005C0887" w:rsidP="45ADCBF8" w:rsidRDefault="005C0887" w14:paraId="1864F856" w14:textId="6D74AD2A">
      <w:pPr>
        <w:pStyle w:val="Heading3"/>
        <w:rPr>
          <w:rFonts w:ascii="Calibri Light" w:hAnsi="Calibri Light" w:eastAsia="等线 Light" w:cs="Times New Roman"/>
          <w:color w:val="1F3763"/>
          <w:sz w:val="24"/>
          <w:szCs w:val="24"/>
        </w:rPr>
      </w:pPr>
      <w:r w:rsidR="45ADCBF8">
        <w:rPr/>
        <w:t xml:space="preserve">Description of ancillary service price formation in SERVM from </w:t>
      </w:r>
      <w:proofErr w:type="spellStart"/>
      <w:r w:rsidR="45ADCBF8">
        <w:rPr/>
        <w:t>Astrape</w:t>
      </w:r>
      <w:proofErr w:type="spellEnd"/>
      <w:r w:rsidR="45ADCBF8">
        <w:rPr/>
        <w:t xml:space="preserve">: </w:t>
      </w:r>
    </w:p>
    <w:p w:rsidR="008227BD" w:rsidP="008227BD" w:rsidRDefault="005C0887" w14:paraId="6EB0F7DF" w14:textId="3AD78756">
      <w:r w:rsidR="45ADCBF8">
        <w:rPr/>
        <w:t xml:space="preserve">The ancillary services price formation in SERVM includes both the effects of scarcity and the cost of serving the next increment of the respective ancillary service. Scarcity cost is a simple lookup of the current available reserves on the operating reserve demand curve. In most hours, since available reserves exceed the demand of reserves, the scarcity component is at $0 or at an alternate floor price. </w:t>
      </w:r>
    </w:p>
    <w:p w:rsidR="008227BD" w:rsidP="005C0887" w:rsidRDefault="008227BD" w14:paraId="3C82EF70" w14:textId="6596CE98">
      <w:r w:rsidR="45ADCBF8">
        <w:rPr/>
        <w:t>Calculating the cost of the next increment of an ancillary service considers the foregone profits that could have been made from energy market sales. This is a resource’s opportunity cost of providing the ancillary service. At high battery penetrations, the opportunity cost calculation is not straightforward because there are temporal aspects to determining the cost of the next unit of ancillary service. Supplying one more unit of ancillary service could affect the energy schedule of energy limited resources in other hours which would affect pricing in those hours. Calculating the ancillary service price for each hour in isolation resulted in counter-intuitive trends in pricing profiles. An alternate ancillary service price formation algorithm in SERVM that resolves the temporal concerns is in beta testing. The current ancillary service prices reported below reflect only the scarcity pricing component with a price floor.</w:t>
      </w:r>
    </w:p>
    <w:p w:rsidR="000D6238" w:rsidP="001C025D" w:rsidRDefault="001C025D" w14:paraId="53491D97" w14:textId="55B783F5">
      <w:pPr>
        <w:pStyle w:val="Heading1"/>
      </w:pPr>
      <w:r>
        <w:t>Reg UP</w:t>
      </w:r>
    </w:p>
    <w:p w:rsidR="00C012C9" w:rsidP="001C025D" w:rsidRDefault="001C025D" w14:paraId="0AF0F6A4" w14:textId="6AA06FEC">
      <w:r>
        <w:t>Historical 2021</w:t>
      </w:r>
    </w:p>
    <w:p w:rsidR="00015151" w:rsidP="001C025D" w:rsidRDefault="00015151" w14:paraId="27CBAC9A" w14:textId="647AC744">
      <w:r>
        <w:rPr>
          <w:noProof/>
        </w:rPr>
        <w:drawing>
          <wp:inline distT="0" distB="0" distL="0" distR="0" wp14:anchorId="4133B41F" wp14:editId="1251BADF">
            <wp:extent cx="5931535" cy="18764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AC7EF2" w:rsidP="001C025D" w:rsidRDefault="001C025D" w14:paraId="24B9F6F9" w14:textId="0298B975">
      <w:r>
        <w:t>2022</w:t>
      </w:r>
    </w:p>
    <w:p w:rsidR="006D5C29" w:rsidP="001C025D" w:rsidRDefault="006D5C29" w14:paraId="0CB507B1" w14:textId="4FACB44C">
      <w:r>
        <w:rPr>
          <w:noProof/>
        </w:rPr>
        <w:drawing>
          <wp:inline distT="0" distB="0" distL="0" distR="0" wp14:anchorId="14CF0B87" wp14:editId="2FEDC509">
            <wp:extent cx="5931535" cy="1876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AC7EF2" w:rsidP="001C025D" w:rsidRDefault="001C025D" w14:paraId="2930B5CE" w14:textId="132713AE">
      <w:r>
        <w:t>2030</w:t>
      </w:r>
    </w:p>
    <w:p w:rsidR="007A5FB4" w:rsidP="001C025D" w:rsidRDefault="007A5FB4" w14:paraId="449BF147" w14:textId="0A540FE8">
      <w:r>
        <w:rPr>
          <w:noProof/>
        </w:rPr>
        <w:drawing>
          <wp:inline distT="0" distB="0" distL="0" distR="0" wp14:anchorId="46AF80CD" wp14:editId="700BA8B5">
            <wp:extent cx="5931535" cy="18764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AC7EF2" w:rsidRDefault="001C025D" w14:paraId="7C223A5F" w14:textId="66C9AB69">
      <w:r>
        <w:t>2045</w:t>
      </w:r>
    </w:p>
    <w:p w:rsidR="007A5FB4" w:rsidRDefault="007A5FB4" w14:paraId="48929367" w14:textId="2D5BA5BC">
      <w:r>
        <w:rPr>
          <w:noProof/>
        </w:rPr>
        <w:drawing>
          <wp:inline distT="0" distB="0" distL="0" distR="0" wp14:anchorId="77E23B4D" wp14:editId="36D53B95">
            <wp:extent cx="5931535" cy="18764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1C025D" w:rsidP="001C025D" w:rsidRDefault="001C025D" w14:paraId="6881E7EC" w14:textId="0B5AB022">
      <w:pPr>
        <w:pStyle w:val="Heading1"/>
      </w:pPr>
      <w:r>
        <w:t>Reg Down</w:t>
      </w:r>
    </w:p>
    <w:p w:rsidR="00E74FAD" w:rsidP="001C025D" w:rsidRDefault="001C025D" w14:paraId="67ADEE49" w14:textId="0D47D105">
      <w:r>
        <w:t>Historical 2021</w:t>
      </w:r>
    </w:p>
    <w:p w:rsidR="00015151" w:rsidP="001C025D" w:rsidRDefault="00015151" w14:paraId="20C90369" w14:textId="760C012F">
      <w:r>
        <w:rPr>
          <w:noProof/>
        </w:rPr>
        <w:drawing>
          <wp:inline distT="0" distB="0" distL="0" distR="0" wp14:anchorId="3AAE06F9" wp14:editId="226E219B">
            <wp:extent cx="5931535" cy="18764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015151" w:rsidP="001C025D" w:rsidRDefault="001C025D" w14:paraId="500A8B6D" w14:textId="76E0C0A8">
      <w:r>
        <w:t>2022</w:t>
      </w:r>
      <w:r w:rsidR="00B644B2">
        <w:t xml:space="preserve">                     </w:t>
      </w:r>
    </w:p>
    <w:p w:rsidR="00C012C9" w:rsidP="001C025D" w:rsidRDefault="00015151" w14:paraId="2C573608" w14:textId="4CFBC216">
      <w:r>
        <w:rPr>
          <w:noProof/>
        </w:rPr>
        <w:drawing>
          <wp:inline distT="0" distB="0" distL="0" distR="0" wp14:anchorId="0F113CEA" wp14:editId="3B8DE0F4">
            <wp:extent cx="5931535" cy="187642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r w:rsidR="00B644B2">
        <w:t xml:space="preserve">                                                                                         </w:t>
      </w:r>
    </w:p>
    <w:p w:rsidR="00196607" w:rsidP="001C025D" w:rsidRDefault="001C025D" w14:paraId="64EF9805" w14:textId="66B23714">
      <w:r>
        <w:t>2030</w:t>
      </w:r>
    </w:p>
    <w:p w:rsidR="00015151" w:rsidP="001C025D" w:rsidRDefault="00015151" w14:paraId="250CFD3D" w14:textId="4BF98CC3">
      <w:r>
        <w:rPr>
          <w:noProof/>
        </w:rPr>
        <w:drawing>
          <wp:inline distT="0" distB="0" distL="0" distR="0" wp14:anchorId="42608BC3" wp14:editId="54BC0430">
            <wp:extent cx="5931535" cy="18764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196607" w:rsidRDefault="001C025D" w14:paraId="0AE7D798" w14:textId="75C1D497">
      <w:r>
        <w:t>2045</w:t>
      </w:r>
    </w:p>
    <w:p w:rsidR="00015151" w:rsidRDefault="000D0069" w14:paraId="0D1441FC" w14:textId="7E2B3195">
      <w:r>
        <w:rPr>
          <w:noProof/>
        </w:rPr>
        <w:drawing>
          <wp:inline distT="0" distB="0" distL="0" distR="0" wp14:anchorId="5E44806F" wp14:editId="0CBB07E9">
            <wp:extent cx="5931535" cy="18764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C012C9" w:rsidP="00C012C9" w:rsidRDefault="00C012C9" w14:paraId="50F3EE69" w14:textId="07CE1FFB">
      <w:pPr>
        <w:pStyle w:val="Heading1"/>
      </w:pPr>
      <w:r>
        <w:t>Spin</w:t>
      </w:r>
    </w:p>
    <w:p w:rsidR="000C4B7F" w:rsidP="00C012C9" w:rsidRDefault="00C012C9" w14:paraId="6D58DC8D" w14:textId="3650B422">
      <w:r>
        <w:t>Historical 2021</w:t>
      </w:r>
    </w:p>
    <w:p w:rsidR="000D0069" w:rsidP="00C012C9" w:rsidRDefault="000D0069" w14:paraId="7B57E518" w14:textId="7BF8677E">
      <w:r>
        <w:rPr>
          <w:noProof/>
        </w:rPr>
        <w:drawing>
          <wp:inline distT="0" distB="0" distL="0" distR="0" wp14:anchorId="6A5E78C5" wp14:editId="36A1E5C4">
            <wp:extent cx="5931535" cy="18764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1535" cy="1876425"/>
                    </a:xfrm>
                    <a:prstGeom prst="rect">
                      <a:avLst/>
                    </a:prstGeom>
                    <a:noFill/>
                    <a:ln>
                      <a:noFill/>
                    </a:ln>
                  </pic:spPr>
                </pic:pic>
              </a:graphicData>
            </a:graphic>
          </wp:inline>
        </w:drawing>
      </w:r>
    </w:p>
    <w:p w:rsidR="00B301F0" w:rsidP="00C012C9" w:rsidRDefault="00C012C9" w14:paraId="7B370C96" w14:textId="641CB91A">
      <w:r>
        <w:t>2022</w:t>
      </w:r>
    </w:p>
    <w:p w:rsidR="000D0069" w:rsidP="00C012C9" w:rsidRDefault="000842A2" w14:paraId="2033CE12" w14:textId="01EBD2E0">
      <w:r>
        <w:rPr>
          <w:noProof/>
        </w:rPr>
        <w:drawing>
          <wp:inline distT="0" distB="0" distL="0" distR="0" wp14:anchorId="7884FFB0" wp14:editId="4C1CA4D1">
            <wp:extent cx="5931535" cy="1864360"/>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31535" cy="1864360"/>
                    </a:xfrm>
                    <a:prstGeom prst="rect">
                      <a:avLst/>
                    </a:prstGeom>
                    <a:noFill/>
                    <a:ln>
                      <a:noFill/>
                    </a:ln>
                  </pic:spPr>
                </pic:pic>
              </a:graphicData>
            </a:graphic>
          </wp:inline>
        </w:drawing>
      </w:r>
    </w:p>
    <w:p w:rsidR="00B301F0" w:rsidP="00C012C9" w:rsidRDefault="00C012C9" w14:paraId="003355B4" w14:textId="472548B3">
      <w:r>
        <w:t>2030</w:t>
      </w:r>
    </w:p>
    <w:p w:rsidR="000842A2" w:rsidP="00C012C9" w:rsidRDefault="000842A2" w14:paraId="46AB9806" w14:textId="3EC9F790">
      <w:r>
        <w:rPr>
          <w:noProof/>
        </w:rPr>
        <w:drawing>
          <wp:inline distT="0" distB="0" distL="0" distR="0" wp14:anchorId="75AE062F" wp14:editId="2FE351E8">
            <wp:extent cx="5931535" cy="1864360"/>
            <wp:effectExtent l="0" t="0" r="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31535" cy="1864360"/>
                    </a:xfrm>
                    <a:prstGeom prst="rect">
                      <a:avLst/>
                    </a:prstGeom>
                    <a:noFill/>
                    <a:ln>
                      <a:noFill/>
                    </a:ln>
                  </pic:spPr>
                </pic:pic>
              </a:graphicData>
            </a:graphic>
          </wp:inline>
        </w:drawing>
      </w:r>
    </w:p>
    <w:p w:rsidR="00B301F0" w:rsidP="00C012C9" w:rsidRDefault="00C012C9" w14:paraId="4F5C5DC8" w14:textId="72D2C056">
      <w:r>
        <w:t>2045</w:t>
      </w:r>
    </w:p>
    <w:p w:rsidR="000842A2" w:rsidP="00C012C9" w:rsidRDefault="000842A2" w14:paraId="758A65F5" w14:textId="6139B31F">
      <w:r>
        <w:rPr>
          <w:noProof/>
        </w:rPr>
        <w:drawing>
          <wp:inline distT="0" distB="0" distL="0" distR="0" wp14:anchorId="2064F2D7" wp14:editId="537C4396">
            <wp:extent cx="5931535" cy="1864360"/>
            <wp:effectExtent l="0" t="0" r="0" b="25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1535" cy="1864360"/>
                    </a:xfrm>
                    <a:prstGeom prst="rect">
                      <a:avLst/>
                    </a:prstGeom>
                    <a:noFill/>
                    <a:ln>
                      <a:noFill/>
                    </a:ln>
                  </pic:spPr>
                </pic:pic>
              </a:graphicData>
            </a:graphic>
          </wp:inline>
        </w:drawing>
      </w:r>
    </w:p>
    <w:p w:rsidR="00C012C9" w:rsidP="00C012C9" w:rsidRDefault="00C012C9" w14:paraId="59CCE2FF" w14:textId="2E8F2BF2">
      <w:pPr>
        <w:pStyle w:val="Heading1"/>
      </w:pPr>
      <w:r>
        <w:t>RT</w:t>
      </w:r>
    </w:p>
    <w:p w:rsidR="00203DA5" w:rsidP="00C012C9" w:rsidRDefault="00C012C9" w14:paraId="0A8BADCE" w14:textId="5EB3F70C">
      <w:r>
        <w:t>Historical 2021</w:t>
      </w:r>
    </w:p>
    <w:p w:rsidR="000842A2" w:rsidP="00C012C9" w:rsidRDefault="00050AF7" w14:paraId="2E9F3051" w14:textId="689D8256">
      <w:r>
        <w:rPr>
          <w:noProof/>
        </w:rPr>
        <w:drawing>
          <wp:inline distT="0" distB="0" distL="0" distR="0" wp14:anchorId="52D47BA7" wp14:editId="0E442DCB">
            <wp:extent cx="5931535" cy="18700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31535" cy="1870075"/>
                    </a:xfrm>
                    <a:prstGeom prst="rect">
                      <a:avLst/>
                    </a:prstGeom>
                    <a:noFill/>
                    <a:ln>
                      <a:noFill/>
                    </a:ln>
                  </pic:spPr>
                </pic:pic>
              </a:graphicData>
            </a:graphic>
          </wp:inline>
        </w:drawing>
      </w:r>
    </w:p>
    <w:p w:rsidR="00A724BE" w:rsidP="00C012C9" w:rsidRDefault="00C012C9" w14:paraId="0B7AB2FA" w14:textId="2999AF7F">
      <w:r>
        <w:t>2022</w:t>
      </w:r>
    </w:p>
    <w:p w:rsidR="00050AF7" w:rsidP="00C012C9" w:rsidRDefault="00050AF7" w14:paraId="1E706AAB" w14:textId="5CA129B0">
      <w:r>
        <w:rPr>
          <w:noProof/>
        </w:rPr>
        <w:drawing>
          <wp:inline distT="0" distB="0" distL="0" distR="0" wp14:anchorId="0B43A50C" wp14:editId="53256504">
            <wp:extent cx="5931535" cy="187007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31535" cy="1870075"/>
                    </a:xfrm>
                    <a:prstGeom prst="rect">
                      <a:avLst/>
                    </a:prstGeom>
                    <a:noFill/>
                    <a:ln>
                      <a:noFill/>
                    </a:ln>
                  </pic:spPr>
                </pic:pic>
              </a:graphicData>
            </a:graphic>
          </wp:inline>
        </w:drawing>
      </w:r>
    </w:p>
    <w:p w:rsidR="00EF1191" w:rsidP="00C012C9" w:rsidRDefault="00C012C9" w14:paraId="1E633C6C" w14:textId="49E42E5E">
      <w:r>
        <w:t>2030</w:t>
      </w:r>
    </w:p>
    <w:p w:rsidR="00050AF7" w:rsidP="00C012C9" w:rsidRDefault="00050AF7" w14:paraId="61D98EB0" w14:textId="00078452">
      <w:r>
        <w:rPr>
          <w:noProof/>
        </w:rPr>
        <w:drawing>
          <wp:inline distT="0" distB="0" distL="0" distR="0" wp14:anchorId="002A46EA" wp14:editId="7BBF96C2">
            <wp:extent cx="5931535" cy="187007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31535" cy="1870075"/>
                    </a:xfrm>
                    <a:prstGeom prst="rect">
                      <a:avLst/>
                    </a:prstGeom>
                    <a:noFill/>
                    <a:ln>
                      <a:noFill/>
                    </a:ln>
                  </pic:spPr>
                </pic:pic>
              </a:graphicData>
            </a:graphic>
          </wp:inline>
        </w:drawing>
      </w:r>
    </w:p>
    <w:p w:rsidR="009C0E50" w:rsidP="00C012C9" w:rsidRDefault="00C012C9" w14:paraId="3F34D0DA" w14:textId="7C7DC0EA">
      <w:r>
        <w:t>2045</w:t>
      </w:r>
    </w:p>
    <w:p w:rsidR="00C012C9" w:rsidP="005329B1" w:rsidRDefault="009C0E50" w14:paraId="010085F0" w14:textId="71015A68">
      <w:r>
        <w:rPr>
          <w:noProof/>
        </w:rPr>
        <w:drawing>
          <wp:inline distT="0" distB="0" distL="0" distR="0" wp14:anchorId="45F9CC51" wp14:editId="0D5E0C73">
            <wp:extent cx="5931535" cy="18700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31535" cy="1870075"/>
                    </a:xfrm>
                    <a:prstGeom prst="rect">
                      <a:avLst/>
                    </a:prstGeom>
                    <a:noFill/>
                    <a:ln>
                      <a:noFill/>
                    </a:ln>
                  </pic:spPr>
                </pic:pic>
              </a:graphicData>
            </a:graphic>
          </wp:inline>
        </w:drawing>
      </w:r>
      <w:r w:rsidRPr="005329B1" w:rsidR="43A01F3F">
        <w:rPr>
          <w:rStyle w:val="Heading1Char"/>
        </w:rPr>
        <w:t>Duration Curves</w:t>
      </w:r>
      <w:r w:rsidRPr="43A01F3F" w:rsidR="43A01F3F">
        <w:rPr>
          <w:rFonts w:ascii="Calibri Light" w:hAnsi="Calibri Light" w:eastAsia="Calibri Light" w:cs="Calibri Light"/>
        </w:rPr>
        <w:t xml:space="preserve"> </w:t>
      </w:r>
    </w:p>
    <w:p w:rsidR="0050319C" w:rsidP="0050319C" w:rsidRDefault="0050319C" w14:paraId="0E6F6C3B" w14:textId="77777777">
      <w:r>
        <w:t xml:space="preserve">For the 2022 ACC, E3 deploys a similar approach as in 2021 ACC that scales up the implied heat rate of the top 5% hours of the year. </w:t>
      </w:r>
    </w:p>
    <w:p w:rsidR="00023234" w:rsidP="00023234" w:rsidRDefault="00023234" w14:paraId="6397C7A8" w14:textId="623C2416">
      <w:pPr>
        <w:spacing w:line="257" w:lineRule="auto"/>
      </w:pPr>
      <w:r>
        <w:t xml:space="preserve">E3 develops one set of scarcity factors and applies to all price regions modeled; this is based on the understanding that scarcity conditions in CA’s major demand center tends to ripple across all zones within the state. The scarcity adjustments across zones in the state should therefore be coordinated. For the selected scarcity-setting zone, E3 benchmarks SERVM prices before scarcity adjustments against actual 2021 historical prices. </w:t>
      </w:r>
    </w:p>
    <w:p w:rsidR="005329B1" w:rsidP="00023234" w:rsidRDefault="00023234" w14:paraId="0D281651" w14:textId="58A06687">
      <w:pPr>
        <w:spacing w:line="257" w:lineRule="auto"/>
        <w:rPr>
          <w:rFonts w:ascii="Calibri" w:hAnsi="Calibri" w:eastAsia="Calibri" w:cs="Calibri"/>
        </w:rPr>
      </w:pPr>
      <w:r>
        <w:t xml:space="preserve">E3 backs out the marginal heat rates as implied by prices in the benchmark year rather than work directly with prices. Working with implied heat rates effectively factors out the differences in gas and carbon prices, which are temporally variable and </w:t>
      </w:r>
      <w:r w:rsidR="25817245">
        <w:t>do</w:t>
      </w:r>
      <w:r>
        <w:t xml:space="preserve"> not offer specific insight into the electricity system. </w:t>
      </w:r>
      <w:r w:rsidR="53DF57AD">
        <w:t>Using the marginal heat rates, E3</w:t>
      </w:r>
      <w:r>
        <w:t xml:space="preserve"> identifies the number of hours in which scarcity exists in historical benchmark year but is not reflected by the forecasted prices. These hours are then scaled up</w:t>
      </w:r>
      <w:r w:rsidR="34A3A146">
        <w:t xml:space="preserve"> in the forecast</w:t>
      </w:r>
      <w:r>
        <w:t xml:space="preserve"> to approximate the historical pattern and magnitude. Finally, it is assumed that these systematic modeling </w:t>
      </w:r>
      <w:r w:rsidR="5A7D8FEC">
        <w:t>differences</w:t>
      </w:r>
      <w:r>
        <w:t xml:space="preserve"> between </w:t>
      </w:r>
      <w:r w:rsidR="5A7D8FEC">
        <w:t xml:space="preserve">the </w:t>
      </w:r>
      <w:r>
        <w:t>SERVM forecast and the real world persists across all years modeled. This calculated set of scarcity scalars based on this benchmarked year is applied to each year of the SERVM forecast to adjust for scarcity.</w:t>
      </w:r>
    </w:p>
    <w:p w:rsidR="005329B1" w:rsidP="2EFB1B9F" w:rsidRDefault="005329B1" w14:paraId="79E71121" w14:textId="77777777">
      <w:pPr>
        <w:spacing w:line="257" w:lineRule="auto"/>
        <w:rPr>
          <w:rFonts w:ascii="Calibri" w:hAnsi="Calibri" w:eastAsia="Calibri" w:cs="Calibri"/>
        </w:rPr>
      </w:pPr>
    </w:p>
    <w:p w:rsidR="00023234" w:rsidP="2EFB1B9F" w:rsidRDefault="00023234" w14:paraId="2B03934B" w14:textId="77777777">
      <w:pPr>
        <w:spacing w:line="257" w:lineRule="auto"/>
        <w:rPr>
          <w:rFonts w:ascii="Calibri" w:hAnsi="Calibri" w:eastAsia="Calibri" w:cs="Calibri"/>
        </w:rPr>
      </w:pPr>
    </w:p>
    <w:p w:rsidR="00C012C9" w:rsidP="2EFB1B9F" w:rsidRDefault="43A01F3F" w14:paraId="31EAF9D5" w14:textId="55ECD653">
      <w:pPr>
        <w:spacing w:line="257" w:lineRule="auto"/>
        <w:rPr>
          <w:rFonts w:ascii="Calibri" w:hAnsi="Calibri" w:eastAsia="Calibri" w:cs="Calibri"/>
        </w:rPr>
      </w:pPr>
      <w:r w:rsidRPr="2EFB1B9F">
        <w:rPr>
          <w:rFonts w:ascii="Calibri" w:hAnsi="Calibri" w:eastAsia="Calibri" w:cs="Calibri"/>
        </w:rPr>
        <w:t xml:space="preserve">Heat Rates </w:t>
      </w:r>
      <w:r w:rsidR="009E5BBB">
        <w:rPr>
          <w:rFonts w:ascii="Calibri" w:hAnsi="Calibri" w:eastAsia="Calibri" w:cs="Calibri"/>
        </w:rPr>
        <w:t xml:space="preserve">benchmarked with historical implied heat rates </w:t>
      </w:r>
    </w:p>
    <w:p w:rsidR="00C012C9" w:rsidP="00D0207A" w:rsidRDefault="00023350" w14:paraId="569629C2" w14:textId="5410D45C">
      <w:pPr>
        <w:spacing w:line="257" w:lineRule="auto"/>
      </w:pPr>
      <w:r>
        <w:rPr>
          <w:rFonts w:ascii="Calibri" w:hAnsi="Calibri" w:eastAsia="Calibri" w:cs="Calibri"/>
        </w:rPr>
        <w:t>2022</w:t>
      </w:r>
    </w:p>
    <w:p w:rsidR="00510723" w:rsidP="2EFB1B9F" w:rsidRDefault="00D0207A" w14:paraId="5A12DF7C" w14:textId="39C2331C">
      <w:r>
        <w:rPr>
          <w:noProof/>
        </w:rPr>
        <w:drawing>
          <wp:inline distT="0" distB="0" distL="0" distR="0" wp14:anchorId="3277192F" wp14:editId="16E21677">
            <wp:extent cx="2413943" cy="1865376"/>
            <wp:effectExtent l="0" t="0" r="5715" b="190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13943" cy="1865376"/>
                    </a:xfrm>
                    <a:prstGeom prst="rect">
                      <a:avLst/>
                    </a:prstGeom>
                    <a:noFill/>
                    <a:ln>
                      <a:noFill/>
                    </a:ln>
                  </pic:spPr>
                </pic:pic>
              </a:graphicData>
            </a:graphic>
          </wp:inline>
        </w:drawing>
      </w:r>
    </w:p>
    <w:p w:rsidR="0006233B" w:rsidP="2EFB1B9F" w:rsidRDefault="00023350" w14:paraId="4BCA084A" w14:textId="5C85D430">
      <w:r>
        <w:t>2030</w:t>
      </w:r>
    </w:p>
    <w:p w:rsidR="00D0207A" w:rsidP="2EFB1B9F" w:rsidRDefault="00D0207A" w14:paraId="042EAA4E" w14:textId="344F8176">
      <w:r>
        <w:rPr>
          <w:noProof/>
        </w:rPr>
        <w:drawing>
          <wp:inline distT="0" distB="0" distL="0" distR="0" wp14:anchorId="4E070743" wp14:editId="1D171F12">
            <wp:extent cx="2413943" cy="1865376"/>
            <wp:effectExtent l="0" t="0" r="5715" b="190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413943" cy="1865376"/>
                    </a:xfrm>
                    <a:prstGeom prst="rect">
                      <a:avLst/>
                    </a:prstGeom>
                    <a:noFill/>
                    <a:ln>
                      <a:noFill/>
                    </a:ln>
                  </pic:spPr>
                </pic:pic>
              </a:graphicData>
            </a:graphic>
          </wp:inline>
        </w:drawing>
      </w:r>
    </w:p>
    <w:p w:rsidR="009E5BBB" w:rsidP="2EFB1B9F" w:rsidRDefault="00023350" w14:paraId="47DAD65F" w14:textId="7BA8AF4B">
      <w:r>
        <w:t>2045</w:t>
      </w:r>
    </w:p>
    <w:p w:rsidR="00D0207A" w:rsidP="2EFB1B9F" w:rsidRDefault="005119E1" w14:paraId="0E5E9181" w14:textId="246D2999">
      <w:r>
        <w:rPr>
          <w:noProof/>
        </w:rPr>
        <w:drawing>
          <wp:inline distT="0" distB="0" distL="0" distR="0" wp14:anchorId="2B280DBC" wp14:editId="4711BD52">
            <wp:extent cx="2413943" cy="1865376"/>
            <wp:effectExtent l="0" t="0" r="5715" b="19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13943" cy="1865376"/>
                    </a:xfrm>
                    <a:prstGeom prst="rect">
                      <a:avLst/>
                    </a:prstGeom>
                    <a:noFill/>
                    <a:ln>
                      <a:noFill/>
                    </a:ln>
                  </pic:spPr>
                </pic:pic>
              </a:graphicData>
            </a:graphic>
          </wp:inline>
        </w:drawing>
      </w:r>
    </w:p>
    <w:p w:rsidR="00C012C9" w:rsidRDefault="00C012C9" w14:paraId="7C146FE9" w14:textId="2A1AB2DA"/>
    <w:p w:rsidR="006B6B4B" w:rsidRDefault="006B6B4B" w14:paraId="4211C2EE" w14:textId="30891D2B"/>
    <w:p w:rsidR="005329B1" w:rsidRDefault="005329B1" w14:paraId="1730CFF8" w14:textId="46A70C4C"/>
    <w:p w:rsidR="005329B1" w:rsidRDefault="005329B1" w14:paraId="118FAA16" w14:textId="77777777"/>
    <w:p w:rsidR="006B6B4B" w:rsidP="006B6B4B" w:rsidRDefault="006B6B4B" w14:paraId="70B87A46" w14:textId="77777777">
      <w:pPr>
        <w:spacing w:line="257" w:lineRule="auto"/>
        <w:rPr>
          <w:rFonts w:ascii="Calibri" w:hAnsi="Calibri" w:eastAsia="Calibri" w:cs="Calibri"/>
        </w:rPr>
      </w:pPr>
      <w:r w:rsidRPr="43A01F3F">
        <w:rPr>
          <w:rFonts w:ascii="Calibri" w:hAnsi="Calibri" w:eastAsia="Calibri" w:cs="Calibri"/>
        </w:rPr>
        <w:t>DA Energy Prices</w:t>
      </w:r>
      <w:r>
        <w:rPr>
          <w:rFonts w:ascii="Calibri" w:hAnsi="Calibri" w:eastAsia="Calibri" w:cs="Calibri"/>
        </w:rPr>
        <w:t xml:space="preserve"> benchmarked with historical prices </w:t>
      </w:r>
    </w:p>
    <w:p w:rsidR="006B6B4B" w:rsidP="006B6B4B" w:rsidRDefault="006B6B4B" w14:paraId="7037BEB2" w14:textId="77777777">
      <w:pPr>
        <w:spacing w:line="257" w:lineRule="auto"/>
      </w:pPr>
      <w:r>
        <w:rPr>
          <w:rFonts w:ascii="Calibri" w:hAnsi="Calibri" w:eastAsia="Calibri" w:cs="Calibri"/>
        </w:rPr>
        <w:t>2022</w:t>
      </w:r>
    </w:p>
    <w:p w:rsidR="006B6B4B" w:rsidP="006B6B4B" w:rsidRDefault="006B6B4B" w14:paraId="259BA8D4" w14:textId="77777777">
      <w:pPr>
        <w:spacing w:line="257" w:lineRule="auto"/>
      </w:pPr>
      <w:r>
        <w:rPr>
          <w:noProof/>
        </w:rPr>
        <w:drawing>
          <wp:inline distT="0" distB="0" distL="0" distR="0" wp14:anchorId="0A3B8E23" wp14:editId="29C89814">
            <wp:extent cx="5937885" cy="1977390"/>
            <wp:effectExtent l="0" t="0" r="0" b="0"/>
            <wp:docPr id="50" name="Picture 50"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A screenshot of a computer&#10;&#10;Description automatically generated with medium confidenc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37885" cy="1977390"/>
                    </a:xfrm>
                    <a:prstGeom prst="rect">
                      <a:avLst/>
                    </a:prstGeom>
                    <a:noFill/>
                    <a:ln>
                      <a:noFill/>
                    </a:ln>
                  </pic:spPr>
                </pic:pic>
              </a:graphicData>
            </a:graphic>
          </wp:inline>
        </w:drawing>
      </w:r>
    </w:p>
    <w:p w:rsidRPr="00510723" w:rsidR="006B6B4B" w:rsidP="006B6B4B" w:rsidRDefault="006B6B4B" w14:paraId="5FA891B9" w14:textId="77777777">
      <w:pPr>
        <w:spacing w:line="257" w:lineRule="auto"/>
      </w:pPr>
      <w:r>
        <w:rPr>
          <w:rFonts w:ascii="Calibri" w:hAnsi="Calibri" w:eastAsia="Calibri" w:cs="Calibri"/>
        </w:rPr>
        <w:t>2030</w:t>
      </w:r>
    </w:p>
    <w:p w:rsidR="006B6B4B" w:rsidP="006B6B4B" w:rsidRDefault="006B6B4B" w14:paraId="60EB55B3" w14:textId="77777777">
      <w:pPr>
        <w:spacing w:line="257" w:lineRule="auto"/>
        <w:rPr>
          <w:rFonts w:ascii="Calibri" w:hAnsi="Calibri" w:eastAsia="Calibri" w:cs="Calibri"/>
        </w:rPr>
      </w:pPr>
      <w:r>
        <w:rPr>
          <w:rFonts w:ascii="Calibri" w:hAnsi="Calibri" w:eastAsia="Calibri" w:cs="Calibri"/>
          <w:noProof/>
        </w:rPr>
        <w:drawing>
          <wp:inline distT="0" distB="0" distL="0" distR="0" wp14:anchorId="0F7EF60F" wp14:editId="14B2592C">
            <wp:extent cx="5937885" cy="1977390"/>
            <wp:effectExtent l="0" t="0" r="0" b="0"/>
            <wp:docPr id="51" name="Picture 51" descr="A computer screen captur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A computer screen capture&#10;&#10;Description automatically generated with low confidence"/>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7885" cy="1977390"/>
                    </a:xfrm>
                    <a:prstGeom prst="rect">
                      <a:avLst/>
                    </a:prstGeom>
                    <a:noFill/>
                    <a:ln>
                      <a:noFill/>
                    </a:ln>
                  </pic:spPr>
                </pic:pic>
              </a:graphicData>
            </a:graphic>
          </wp:inline>
        </w:drawing>
      </w:r>
    </w:p>
    <w:p w:rsidRPr="00510723" w:rsidR="006B6B4B" w:rsidP="006B6B4B" w:rsidRDefault="006B6B4B" w14:paraId="3F4398A8" w14:textId="77777777">
      <w:pPr>
        <w:spacing w:line="257" w:lineRule="auto"/>
      </w:pPr>
      <w:r>
        <w:rPr>
          <w:rFonts w:ascii="Calibri" w:hAnsi="Calibri" w:eastAsia="Calibri" w:cs="Calibri"/>
        </w:rPr>
        <w:t>2045</w:t>
      </w:r>
    </w:p>
    <w:p w:rsidR="006B6B4B" w:rsidP="006B6B4B" w:rsidRDefault="006B6B4B" w14:paraId="1F443CB3" w14:textId="77777777">
      <w:pPr>
        <w:spacing w:line="257" w:lineRule="auto"/>
        <w:rPr>
          <w:rFonts w:ascii="Calibri" w:hAnsi="Calibri" w:eastAsia="Calibri" w:cs="Calibri"/>
        </w:rPr>
      </w:pPr>
      <w:r>
        <w:rPr>
          <w:noProof/>
        </w:rPr>
        <w:drawing>
          <wp:inline distT="0" distB="0" distL="0" distR="0" wp14:anchorId="1913978C" wp14:editId="1FA98FEE">
            <wp:extent cx="5937885" cy="1977390"/>
            <wp:effectExtent l="0" t="0" r="0" b="0"/>
            <wp:docPr id="52" name="Picture 52" descr="A computer screen captur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A computer screen capture&#10;&#10;Description automatically generated with low confidenc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37885" cy="1977390"/>
                    </a:xfrm>
                    <a:prstGeom prst="rect">
                      <a:avLst/>
                    </a:prstGeom>
                    <a:noFill/>
                    <a:ln>
                      <a:noFill/>
                    </a:ln>
                  </pic:spPr>
                </pic:pic>
              </a:graphicData>
            </a:graphic>
          </wp:inline>
        </w:drawing>
      </w:r>
    </w:p>
    <w:p w:rsidR="006B6B4B" w:rsidP="006B6B4B" w:rsidRDefault="006B6B4B" w14:paraId="17D96670" w14:textId="77777777">
      <w:pPr>
        <w:rPr>
          <w:rFonts w:ascii="Calibri" w:hAnsi="Calibri" w:eastAsia="Calibri" w:cs="Calibri"/>
        </w:rPr>
      </w:pPr>
      <w:r>
        <w:rPr>
          <w:rFonts w:ascii="Calibri" w:hAnsi="Calibri" w:eastAsia="Calibri" w:cs="Calibri"/>
        </w:rPr>
        <w:br w:type="page"/>
      </w:r>
    </w:p>
    <w:p w:rsidR="006B6B4B" w:rsidRDefault="006B6B4B" w14:paraId="67061DF7" w14:textId="77777777"/>
    <w:sectPr w:rsidR="006B6B4B">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0000000000000000000"/>
    <w:charset w:val="86"/>
    <w:family w:val="roman"/>
    <w:notTrueType/>
    <w:pitch w:val="default"/>
  </w:font>
  <w:font w:name="DengXian">
    <w:altName w:val="等线"/>
    <w:panose1 w:val="02010600030101010101"/>
    <w:charset w:val="86"/>
    <w:family w:val="modern"/>
    <w:pitch w:val="fixed"/>
    <w:sig w:usb0="00000001" w:usb1="080E0000" w:usb2="00000010" w:usb3="00000000" w:csb0="0004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3F77372"/>
    <w:multiLevelType w:val="hybridMultilevel"/>
    <w:tmpl w:val="9EE8D678"/>
    <w:lvl w:ilvl="0" w:tplc="846806F0">
      <w:numFmt w:val="bullet"/>
      <w:lvlText w:val="-"/>
      <w:lvlJc w:val="left"/>
      <w:pPr>
        <w:ind w:left="720" w:hanging="360"/>
      </w:pPr>
      <w:rPr>
        <w:rFonts w:hint="default" w:ascii="Calibri" w:hAnsi="Calibri" w:cs="Calibri"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20110615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6238"/>
    <w:rsid w:val="00001E4E"/>
    <w:rsid w:val="00010F09"/>
    <w:rsid w:val="00015151"/>
    <w:rsid w:val="00017123"/>
    <w:rsid w:val="00023234"/>
    <w:rsid w:val="00023350"/>
    <w:rsid w:val="00032B2D"/>
    <w:rsid w:val="000506A0"/>
    <w:rsid w:val="00050AF7"/>
    <w:rsid w:val="000545EB"/>
    <w:rsid w:val="0006233B"/>
    <w:rsid w:val="00073EF7"/>
    <w:rsid w:val="000842A2"/>
    <w:rsid w:val="00096F8F"/>
    <w:rsid w:val="000A6B63"/>
    <w:rsid w:val="000C4B7F"/>
    <w:rsid w:val="000D0069"/>
    <w:rsid w:val="000D6238"/>
    <w:rsid w:val="000E3587"/>
    <w:rsid w:val="00104C7B"/>
    <w:rsid w:val="0013162A"/>
    <w:rsid w:val="001415F2"/>
    <w:rsid w:val="00181744"/>
    <w:rsid w:val="00184073"/>
    <w:rsid w:val="00196607"/>
    <w:rsid w:val="001A0B95"/>
    <w:rsid w:val="001A3EB4"/>
    <w:rsid w:val="001B5558"/>
    <w:rsid w:val="001C025D"/>
    <w:rsid w:val="001D2A7F"/>
    <w:rsid w:val="001D602C"/>
    <w:rsid w:val="001E24C6"/>
    <w:rsid w:val="001F21F5"/>
    <w:rsid w:val="00203DA5"/>
    <w:rsid w:val="00224208"/>
    <w:rsid w:val="002337B2"/>
    <w:rsid w:val="00233FC1"/>
    <w:rsid w:val="002510C5"/>
    <w:rsid w:val="00253111"/>
    <w:rsid w:val="002864AC"/>
    <w:rsid w:val="0029088C"/>
    <w:rsid w:val="00291AC9"/>
    <w:rsid w:val="002A04E3"/>
    <w:rsid w:val="002B1816"/>
    <w:rsid w:val="002B71ED"/>
    <w:rsid w:val="002B7242"/>
    <w:rsid w:val="002B7EFB"/>
    <w:rsid w:val="002C483C"/>
    <w:rsid w:val="002E3D3D"/>
    <w:rsid w:val="002E4028"/>
    <w:rsid w:val="002E57C7"/>
    <w:rsid w:val="002E75FD"/>
    <w:rsid w:val="002F0FFD"/>
    <w:rsid w:val="002F48AF"/>
    <w:rsid w:val="00301DB7"/>
    <w:rsid w:val="003029FE"/>
    <w:rsid w:val="003107F1"/>
    <w:rsid w:val="00312D45"/>
    <w:rsid w:val="003250D0"/>
    <w:rsid w:val="00331B07"/>
    <w:rsid w:val="003551D9"/>
    <w:rsid w:val="003A77E2"/>
    <w:rsid w:val="003C4E56"/>
    <w:rsid w:val="003D6382"/>
    <w:rsid w:val="003E528D"/>
    <w:rsid w:val="003E7B3F"/>
    <w:rsid w:val="00416C4B"/>
    <w:rsid w:val="00441B9E"/>
    <w:rsid w:val="0044708A"/>
    <w:rsid w:val="00455503"/>
    <w:rsid w:val="00461D62"/>
    <w:rsid w:val="00476CFF"/>
    <w:rsid w:val="004832E3"/>
    <w:rsid w:val="00494114"/>
    <w:rsid w:val="004A5855"/>
    <w:rsid w:val="004A7079"/>
    <w:rsid w:val="004B04D5"/>
    <w:rsid w:val="004B4563"/>
    <w:rsid w:val="004C4B65"/>
    <w:rsid w:val="0050170D"/>
    <w:rsid w:val="0050319C"/>
    <w:rsid w:val="00510723"/>
    <w:rsid w:val="0051102B"/>
    <w:rsid w:val="005119E1"/>
    <w:rsid w:val="005308A8"/>
    <w:rsid w:val="00530AF4"/>
    <w:rsid w:val="005329B1"/>
    <w:rsid w:val="00544642"/>
    <w:rsid w:val="0058239D"/>
    <w:rsid w:val="00592176"/>
    <w:rsid w:val="005933BE"/>
    <w:rsid w:val="005B32C1"/>
    <w:rsid w:val="005B688C"/>
    <w:rsid w:val="005C0887"/>
    <w:rsid w:val="005C164B"/>
    <w:rsid w:val="005D24A6"/>
    <w:rsid w:val="005E226C"/>
    <w:rsid w:val="00610B00"/>
    <w:rsid w:val="00623FBD"/>
    <w:rsid w:val="00625B39"/>
    <w:rsid w:val="0063786A"/>
    <w:rsid w:val="00651A39"/>
    <w:rsid w:val="006521D5"/>
    <w:rsid w:val="00663133"/>
    <w:rsid w:val="00666772"/>
    <w:rsid w:val="00691776"/>
    <w:rsid w:val="006B0E80"/>
    <w:rsid w:val="006B6019"/>
    <w:rsid w:val="006B6B4B"/>
    <w:rsid w:val="006D4B2D"/>
    <w:rsid w:val="006D5C29"/>
    <w:rsid w:val="006F3195"/>
    <w:rsid w:val="007347CD"/>
    <w:rsid w:val="0073745A"/>
    <w:rsid w:val="0075285B"/>
    <w:rsid w:val="00780383"/>
    <w:rsid w:val="00784CC3"/>
    <w:rsid w:val="00797EE5"/>
    <w:rsid w:val="007A4275"/>
    <w:rsid w:val="007A5FB4"/>
    <w:rsid w:val="007C067D"/>
    <w:rsid w:val="007C1CBD"/>
    <w:rsid w:val="007C2285"/>
    <w:rsid w:val="007C34FE"/>
    <w:rsid w:val="007C4F27"/>
    <w:rsid w:val="007E0EF6"/>
    <w:rsid w:val="007F1711"/>
    <w:rsid w:val="007F2FD4"/>
    <w:rsid w:val="007F3B7D"/>
    <w:rsid w:val="00816419"/>
    <w:rsid w:val="008227BD"/>
    <w:rsid w:val="00824B49"/>
    <w:rsid w:val="00835D85"/>
    <w:rsid w:val="008448CC"/>
    <w:rsid w:val="00855761"/>
    <w:rsid w:val="0087232A"/>
    <w:rsid w:val="008B2A37"/>
    <w:rsid w:val="008C61AA"/>
    <w:rsid w:val="008F58D4"/>
    <w:rsid w:val="0090272B"/>
    <w:rsid w:val="009502EC"/>
    <w:rsid w:val="0097056C"/>
    <w:rsid w:val="009960C0"/>
    <w:rsid w:val="009977FF"/>
    <w:rsid w:val="009B16A4"/>
    <w:rsid w:val="009B42A0"/>
    <w:rsid w:val="009C0E50"/>
    <w:rsid w:val="009C1F9B"/>
    <w:rsid w:val="009D6201"/>
    <w:rsid w:val="009E1280"/>
    <w:rsid w:val="009E1C9A"/>
    <w:rsid w:val="009E5BBB"/>
    <w:rsid w:val="00A14533"/>
    <w:rsid w:val="00A23868"/>
    <w:rsid w:val="00A6159D"/>
    <w:rsid w:val="00A724BE"/>
    <w:rsid w:val="00A80607"/>
    <w:rsid w:val="00A86648"/>
    <w:rsid w:val="00AB1802"/>
    <w:rsid w:val="00AC7EF2"/>
    <w:rsid w:val="00AD6F27"/>
    <w:rsid w:val="00AF1449"/>
    <w:rsid w:val="00B125BD"/>
    <w:rsid w:val="00B279BD"/>
    <w:rsid w:val="00B301F0"/>
    <w:rsid w:val="00B3123E"/>
    <w:rsid w:val="00B365A3"/>
    <w:rsid w:val="00B52CDB"/>
    <w:rsid w:val="00B644B2"/>
    <w:rsid w:val="00B75EF1"/>
    <w:rsid w:val="00BD5456"/>
    <w:rsid w:val="00BE03D5"/>
    <w:rsid w:val="00BE1C5D"/>
    <w:rsid w:val="00BF6CAC"/>
    <w:rsid w:val="00C012C9"/>
    <w:rsid w:val="00C03C33"/>
    <w:rsid w:val="00C07051"/>
    <w:rsid w:val="00C10A28"/>
    <w:rsid w:val="00C209C5"/>
    <w:rsid w:val="00C33CBC"/>
    <w:rsid w:val="00C460EF"/>
    <w:rsid w:val="00C85AD9"/>
    <w:rsid w:val="00C937BC"/>
    <w:rsid w:val="00CA698A"/>
    <w:rsid w:val="00CB2862"/>
    <w:rsid w:val="00CB3358"/>
    <w:rsid w:val="00CC16DE"/>
    <w:rsid w:val="00CE20BA"/>
    <w:rsid w:val="00CE7587"/>
    <w:rsid w:val="00CE7EB1"/>
    <w:rsid w:val="00CF2587"/>
    <w:rsid w:val="00D0207A"/>
    <w:rsid w:val="00D117D2"/>
    <w:rsid w:val="00D21850"/>
    <w:rsid w:val="00D25CFB"/>
    <w:rsid w:val="00D335C7"/>
    <w:rsid w:val="00D51FBA"/>
    <w:rsid w:val="00D530C1"/>
    <w:rsid w:val="00D618AF"/>
    <w:rsid w:val="00D72ADF"/>
    <w:rsid w:val="00D77C94"/>
    <w:rsid w:val="00D849C3"/>
    <w:rsid w:val="00D90026"/>
    <w:rsid w:val="00D90D62"/>
    <w:rsid w:val="00D91170"/>
    <w:rsid w:val="00DA5E58"/>
    <w:rsid w:val="00DB1C8E"/>
    <w:rsid w:val="00DF1053"/>
    <w:rsid w:val="00DF10E2"/>
    <w:rsid w:val="00DF4A0B"/>
    <w:rsid w:val="00E066A1"/>
    <w:rsid w:val="00E226FC"/>
    <w:rsid w:val="00E3444D"/>
    <w:rsid w:val="00E41D2E"/>
    <w:rsid w:val="00E44DE0"/>
    <w:rsid w:val="00E626A4"/>
    <w:rsid w:val="00E74FAD"/>
    <w:rsid w:val="00E755F3"/>
    <w:rsid w:val="00E85327"/>
    <w:rsid w:val="00E866B7"/>
    <w:rsid w:val="00E871B1"/>
    <w:rsid w:val="00EA2224"/>
    <w:rsid w:val="00EB1F70"/>
    <w:rsid w:val="00EB746C"/>
    <w:rsid w:val="00EC63A0"/>
    <w:rsid w:val="00EC74D4"/>
    <w:rsid w:val="00EC7736"/>
    <w:rsid w:val="00EE7595"/>
    <w:rsid w:val="00EF1191"/>
    <w:rsid w:val="00EF24C3"/>
    <w:rsid w:val="00EF475D"/>
    <w:rsid w:val="00EF5E67"/>
    <w:rsid w:val="00F157E8"/>
    <w:rsid w:val="00F159F9"/>
    <w:rsid w:val="00F50221"/>
    <w:rsid w:val="00F7352E"/>
    <w:rsid w:val="00F7520E"/>
    <w:rsid w:val="00F83412"/>
    <w:rsid w:val="00FC5023"/>
    <w:rsid w:val="00FD2F7A"/>
    <w:rsid w:val="00FE641C"/>
    <w:rsid w:val="00FF1C58"/>
    <w:rsid w:val="00FF2446"/>
    <w:rsid w:val="122CE947"/>
    <w:rsid w:val="12E99C16"/>
    <w:rsid w:val="15D80F54"/>
    <w:rsid w:val="25817245"/>
    <w:rsid w:val="2A8C85EA"/>
    <w:rsid w:val="2B255333"/>
    <w:rsid w:val="2EFB1B9F"/>
    <w:rsid w:val="2F56DD0B"/>
    <w:rsid w:val="315D1880"/>
    <w:rsid w:val="31BFE50A"/>
    <w:rsid w:val="34A3A146"/>
    <w:rsid w:val="43A01F3F"/>
    <w:rsid w:val="45ADCBF8"/>
    <w:rsid w:val="46AFB839"/>
    <w:rsid w:val="49A1CA94"/>
    <w:rsid w:val="4AACF0F5"/>
    <w:rsid w:val="5288458E"/>
    <w:rsid w:val="53DF57AD"/>
    <w:rsid w:val="5A7D8FEC"/>
    <w:rsid w:val="6FD90E3D"/>
    <w:rsid w:val="76673C0E"/>
    <w:rsid w:val="767BE41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23E664"/>
  <w15:chartTrackingRefBased/>
  <w15:docId w15:val="{C87BA243-AA57-469E-8AD6-6BB492194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1C025D"/>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329B1"/>
    <w:pPr>
      <w:keepNext/>
      <w:keepLines/>
      <w:spacing w:before="40" w:after="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1C025D"/>
    <w:rPr>
      <w:rFonts w:asciiTheme="majorHAnsi" w:hAnsiTheme="majorHAnsi" w:eastAsiaTheme="majorEastAsia" w:cstheme="majorBidi"/>
      <w:color w:val="2F5496" w:themeColor="accent1" w:themeShade="BF"/>
      <w:sz w:val="32"/>
      <w:szCs w:val="32"/>
    </w:rPr>
  </w:style>
  <w:style w:type="paragraph" w:styleId="Title">
    <w:name w:val="Title"/>
    <w:basedOn w:val="Normal"/>
    <w:next w:val="Normal"/>
    <w:link w:val="TitleChar"/>
    <w:uiPriority w:val="10"/>
    <w:qFormat/>
    <w:rsid w:val="001C025D"/>
    <w:pPr>
      <w:spacing w:after="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C025D"/>
    <w:rPr>
      <w:rFonts w:asciiTheme="majorHAnsi" w:hAnsiTheme="majorHAnsi" w:eastAsiaTheme="majorEastAsia" w:cstheme="majorBidi"/>
      <w:spacing w:val="-10"/>
      <w:kern w:val="28"/>
      <w:sz w:val="56"/>
      <w:szCs w:val="56"/>
    </w:rPr>
  </w:style>
  <w:style w:type="character" w:styleId="CommentReference">
    <w:name w:val="annotation reference"/>
    <w:basedOn w:val="DefaultParagraphFont"/>
    <w:uiPriority w:val="99"/>
    <w:semiHidden/>
    <w:unhideWhenUsed/>
    <w:rsid w:val="002B7EFB"/>
    <w:rPr>
      <w:sz w:val="16"/>
      <w:szCs w:val="16"/>
    </w:rPr>
  </w:style>
  <w:style w:type="paragraph" w:styleId="CommentText">
    <w:name w:val="annotation text"/>
    <w:basedOn w:val="Normal"/>
    <w:link w:val="CommentTextChar"/>
    <w:uiPriority w:val="99"/>
    <w:unhideWhenUsed/>
    <w:rsid w:val="002B7EFB"/>
    <w:pPr>
      <w:spacing w:line="240" w:lineRule="auto"/>
    </w:pPr>
    <w:rPr>
      <w:sz w:val="20"/>
      <w:szCs w:val="20"/>
    </w:rPr>
  </w:style>
  <w:style w:type="character" w:styleId="CommentTextChar" w:customStyle="1">
    <w:name w:val="Comment Text Char"/>
    <w:basedOn w:val="DefaultParagraphFont"/>
    <w:link w:val="CommentText"/>
    <w:uiPriority w:val="99"/>
    <w:rsid w:val="002B7EFB"/>
    <w:rPr>
      <w:sz w:val="20"/>
      <w:szCs w:val="20"/>
    </w:rPr>
  </w:style>
  <w:style w:type="paragraph" w:styleId="CommentSubject">
    <w:name w:val="annotation subject"/>
    <w:basedOn w:val="CommentText"/>
    <w:next w:val="CommentText"/>
    <w:link w:val="CommentSubjectChar"/>
    <w:uiPriority w:val="99"/>
    <w:semiHidden/>
    <w:unhideWhenUsed/>
    <w:rsid w:val="002B7EFB"/>
    <w:rPr>
      <w:b/>
      <w:bCs/>
    </w:rPr>
  </w:style>
  <w:style w:type="character" w:styleId="CommentSubjectChar" w:customStyle="1">
    <w:name w:val="Comment Subject Char"/>
    <w:basedOn w:val="CommentTextChar"/>
    <w:link w:val="CommentSubject"/>
    <w:uiPriority w:val="99"/>
    <w:semiHidden/>
    <w:rsid w:val="002B7EFB"/>
    <w:rPr>
      <w:b/>
      <w:bCs/>
      <w:sz w:val="20"/>
      <w:szCs w:val="20"/>
    </w:rPr>
  </w:style>
  <w:style w:type="character" w:styleId="UnresolvedMention">
    <w:name w:val="Unresolved Mention"/>
    <w:basedOn w:val="DefaultParagraphFont"/>
    <w:uiPriority w:val="99"/>
    <w:unhideWhenUsed/>
    <w:rsid w:val="00494114"/>
    <w:rPr>
      <w:color w:val="605E5C"/>
      <w:shd w:val="clear" w:color="auto" w:fill="E1DFDD"/>
    </w:rPr>
  </w:style>
  <w:style w:type="character" w:styleId="Mention">
    <w:name w:val="Mention"/>
    <w:basedOn w:val="DefaultParagraphFont"/>
    <w:uiPriority w:val="99"/>
    <w:unhideWhenUsed/>
    <w:rsid w:val="00494114"/>
    <w:rPr>
      <w:color w:val="2B579A"/>
      <w:shd w:val="clear" w:color="auto" w:fill="E1DFDD"/>
    </w:rPr>
  </w:style>
  <w:style w:type="character" w:styleId="Heading2Char" w:customStyle="1">
    <w:name w:val="Heading 2 Char"/>
    <w:basedOn w:val="DefaultParagraphFont"/>
    <w:link w:val="Heading2"/>
    <w:uiPriority w:val="9"/>
    <w:rsid w:val="005329B1"/>
    <w:rPr>
      <w:rFonts w:asciiTheme="majorHAnsi" w:hAnsiTheme="majorHAnsi" w:eastAsiaTheme="majorEastAsia" w:cstheme="majorBidi"/>
      <w:color w:val="2F5496" w:themeColor="accent1" w:themeShade="BF"/>
      <w:sz w:val="26"/>
      <w:szCs w:val="26"/>
    </w:rPr>
  </w:style>
  <w:style xmlns:w14="http://schemas.microsoft.com/office/word/2010/wordml" xmlns:mc="http://schemas.openxmlformats.org/markup-compatibility/2006" xmlns:w="http://schemas.openxmlformats.org/wordprocessingml/2006/main" w:type="character" w:styleId="Heading3Char" w:customStyle="1" mc:Ignorable="w14">
    <w:name xmlns:w="http://schemas.openxmlformats.org/wordprocessingml/2006/main" w:val="Heading 3 Char"/>
    <w:basedOn xmlns:w="http://schemas.openxmlformats.org/wordprocessingml/2006/main" w:val="DefaultParagraphFont"/>
    <w:link xmlns:w="http://schemas.openxmlformats.org/wordprocessingml/2006/main" w:val="Heading3"/>
    <w:uiPriority xmlns:w="http://schemas.openxmlformats.org/wordprocessingml/2006/main" w:val="9"/>
    <w:rPr xmlns:w="http://schemas.openxmlformats.org/wordprocessingml/2006/main">
      <w:rFonts w:asciiTheme="majorHAnsi" w:hAnsiTheme="majorHAnsi" w:eastAsiaTheme="majorEastAsia" w:cstheme="majorBidi"/>
      <w:color w:val="1F4D78" w:themeColor="accent1" w:themeShade="7F"/>
      <w:sz w:val="24"/>
      <w:szCs w:val="24"/>
    </w:rPr>
  </w:style>
  <w:style xmlns:w14="http://schemas.microsoft.com/office/word/2010/wordml" xmlns:mc="http://schemas.openxmlformats.org/markup-compatibility/2006" xmlns:w="http://schemas.openxmlformats.org/wordprocessingml/2006/main" w:type="paragraph" w:styleId="Heading3" mc:Ignorable="w14">
    <w:name xmlns:w="http://schemas.openxmlformats.org/wordprocessingml/2006/main" w:val="heading 3"/>
    <w:basedOn xmlns:w="http://schemas.openxmlformats.org/wordprocessingml/2006/main" w:val="Normal"/>
    <w:next xmlns:w="http://schemas.openxmlformats.org/wordprocessingml/2006/main" w:val="Normal"/>
    <w:link xmlns:w="http://schemas.openxmlformats.org/wordprocessingml/2006/main" w:val="Heading3Char"/>
    <w:uiPriority xmlns:w="http://schemas.openxmlformats.org/wordprocessingml/2006/main" w:val="9"/>
    <w:unhideWhenUsed xmlns:w="http://schemas.openxmlformats.org/wordprocessingml/2006/main"/>
    <w:qFormat xmlns:w="http://schemas.openxmlformats.org/wordprocessingml/2006/main"/>
    <w:pPr xmlns:w="http://schemas.openxmlformats.org/wordprocessingml/2006/main">
      <w:keepNext xmlns:w="http://schemas.openxmlformats.org/wordprocessingml/2006/main"/>
      <w:keepLines xmlns:w="http://schemas.openxmlformats.org/wordprocessingml/2006/main"/>
      <w:spacing xmlns:w="http://schemas.openxmlformats.org/wordprocessingml/2006/main" w:before="40" w:after="0"/>
      <w:outlineLvl xmlns:w="http://schemas.openxmlformats.org/wordprocessingml/2006/main" w:val="2"/>
    </w:pPr>
    <w:rPr xmlns:w="http://schemas.openxmlformats.org/wordprocessingml/2006/main">
      <w:rFonts w:asciiTheme="majorHAnsi" w:hAnsiTheme="majorHAnsi" w:eastAsiaTheme="majorEastAsia"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6.png" Id="rId13" /><Relationship Type="http://schemas.openxmlformats.org/officeDocument/2006/relationships/image" Target="media/image11.png" Id="rId18" /><Relationship Type="http://schemas.openxmlformats.org/officeDocument/2006/relationships/image" Target="media/image19.png" Id="rId26" /><Relationship Type="http://schemas.openxmlformats.org/officeDocument/2006/relationships/customXml" Target="../customXml/item3.xml" Id="rId3" /><Relationship Type="http://schemas.openxmlformats.org/officeDocument/2006/relationships/image" Target="media/image14.png" Id="rId21" /><Relationship Type="http://schemas.openxmlformats.org/officeDocument/2006/relationships/fontTable" Target="fontTable.xml" Id="rId34" /><Relationship Type="http://schemas.openxmlformats.org/officeDocument/2006/relationships/webSettings" Target="webSettings.xml" Id="rId7" /><Relationship Type="http://schemas.openxmlformats.org/officeDocument/2006/relationships/image" Target="media/image5.png" Id="rId12" /><Relationship Type="http://schemas.openxmlformats.org/officeDocument/2006/relationships/image" Target="media/image10.png" Id="rId17" /><Relationship Type="http://schemas.openxmlformats.org/officeDocument/2006/relationships/image" Target="media/image18.png" Id="rId25" /><Relationship Type="http://schemas.openxmlformats.org/officeDocument/2006/relationships/image" Target="media/image26.png" Id="rId33" /><Relationship Type="http://schemas.openxmlformats.org/officeDocument/2006/relationships/customXml" Target="../customXml/item2.xml" Id="rId2" /><Relationship Type="http://schemas.openxmlformats.org/officeDocument/2006/relationships/image" Target="media/image9.png" Id="rId16" /><Relationship Type="http://schemas.openxmlformats.org/officeDocument/2006/relationships/image" Target="media/image13.png" Id="rId20" /><Relationship Type="http://schemas.openxmlformats.org/officeDocument/2006/relationships/image" Target="media/image22.png" Id="rId29"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4.png" Id="rId11" /><Relationship Type="http://schemas.openxmlformats.org/officeDocument/2006/relationships/image" Target="media/image17.png" Id="rId24" /><Relationship Type="http://schemas.openxmlformats.org/officeDocument/2006/relationships/image" Target="media/image25.png" Id="rId32" /><Relationship Type="http://schemas.openxmlformats.org/officeDocument/2006/relationships/styles" Target="styles.xml" Id="rId5" /><Relationship Type="http://schemas.openxmlformats.org/officeDocument/2006/relationships/image" Target="media/image8.png" Id="rId15" /><Relationship Type="http://schemas.openxmlformats.org/officeDocument/2006/relationships/image" Target="media/image16.png" Id="rId23" /><Relationship Type="http://schemas.openxmlformats.org/officeDocument/2006/relationships/image" Target="media/image21.png" Id="rId28" /><Relationship Type="http://schemas.openxmlformats.org/officeDocument/2006/relationships/image" Target="media/image3.png" Id="rId10" /><Relationship Type="http://schemas.openxmlformats.org/officeDocument/2006/relationships/image" Target="media/image12.png" Id="rId19" /><Relationship Type="http://schemas.openxmlformats.org/officeDocument/2006/relationships/image" Target="media/image24.png" Id="rId31" /><Relationship Type="http://schemas.openxmlformats.org/officeDocument/2006/relationships/numbering" Target="numbering.xml" Id="rId4" /><Relationship Type="http://schemas.openxmlformats.org/officeDocument/2006/relationships/image" Target="media/image2.png" Id="rId9" /><Relationship Type="http://schemas.openxmlformats.org/officeDocument/2006/relationships/image" Target="media/image7.png" Id="rId14" /><Relationship Type="http://schemas.openxmlformats.org/officeDocument/2006/relationships/image" Target="media/image15.png" Id="rId22" /><Relationship Type="http://schemas.openxmlformats.org/officeDocument/2006/relationships/image" Target="media/image20.png" Id="rId27" /><Relationship Type="http://schemas.openxmlformats.org/officeDocument/2006/relationships/image" Target="media/image23.png" Id="rId30" /><Relationship Type="http://schemas.openxmlformats.org/officeDocument/2006/relationships/theme" Target="theme/theme1.xml" Id="rId35" /><Relationship Type="http://schemas.openxmlformats.org/officeDocument/2006/relationships/image" Target="media/image1.png" Id="rId8"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est xmlns="b48abb86-6b75-4cc9-8ac7-293f3cb026c9" xsi:nil="true"/>
    <_ip_UnifiedCompliancePolicyProperties xmlns="http://schemas.microsoft.com/sharepoint/v3" xsi:nil="true"/>
    <Workingon xmlns="b48abb86-6b75-4cc9-8ac7-293f3cb026c9">
      <UserInfo>
        <DisplayName/>
        <AccountId xsi:nil="true"/>
        <AccountType/>
      </UserInfo>
    </Workingon>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85B365957C7CB40992C2FD98AC36155" ma:contentTypeVersion="15" ma:contentTypeDescription="Create a new document." ma:contentTypeScope="" ma:versionID="e97fdba70a6b6c075ff77fcefeaf979f">
  <xsd:schema xmlns:xsd="http://www.w3.org/2001/XMLSchema" xmlns:xs="http://www.w3.org/2001/XMLSchema" xmlns:p="http://schemas.microsoft.com/office/2006/metadata/properties" xmlns:ns1="http://schemas.microsoft.com/sharepoint/v3" xmlns:ns2="b48abb86-6b75-4cc9-8ac7-293f3cb026c9" xmlns:ns3="b2b8bedc-0fcb-47cf-97d0-3e95d67c491f" targetNamespace="http://schemas.microsoft.com/office/2006/metadata/properties" ma:root="true" ma:fieldsID="7d3098eca153e420d217a3256915daa8" ns1:_="" ns2:_="" ns3:_="">
    <xsd:import namespace="http://schemas.microsoft.com/sharepoint/v3"/>
    <xsd:import namespace="b48abb86-6b75-4cc9-8ac7-293f3cb026c9"/>
    <xsd:import namespace="b2b8bedc-0fcb-47cf-97d0-3e95d67c491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Workingon" minOccurs="0"/>
                <xsd:element ref="ns2:test"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48abb86-6b75-4cc9-8ac7-293f3cb026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Workingon" ma:index="18" nillable="true" ma:displayName="Working on" ma:description="Who is working on the document" ma:format="Dropdown" ma:list="UserInfo" ma:SharePointGroup="0" ma:internalName="Workingon">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est" ma:index="19" nillable="true" ma:displayName="test" ma:format="Dropdown" ma:internalName="test">
      <xsd:simpleType>
        <xsd:restriction base="dms:Text">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b8bedc-0fcb-47cf-97d0-3e95d67c491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FAEB751-B28E-4103-ADC6-1C93B3518A78}">
  <ds:schemaRefs>
    <ds:schemaRef ds:uri="http://schemas.microsoft.com/office/2006/metadata/properties"/>
    <ds:schemaRef ds:uri="http://schemas.microsoft.com/office/infopath/2007/PartnerControls"/>
    <ds:schemaRef ds:uri="http://schemas.microsoft.com/sharepoint/v3"/>
    <ds:schemaRef ds:uri="b48abb86-6b75-4cc9-8ac7-293f3cb026c9"/>
  </ds:schemaRefs>
</ds:datastoreItem>
</file>

<file path=customXml/itemProps2.xml><?xml version="1.0" encoding="utf-8"?>
<ds:datastoreItem xmlns:ds="http://schemas.openxmlformats.org/officeDocument/2006/customXml" ds:itemID="{496BD665-547C-4E10-B2A4-94E3C5F48E2A}">
  <ds:schemaRefs>
    <ds:schemaRef ds:uri="http://schemas.microsoft.com/sharepoint/v3/contenttype/forms"/>
  </ds:schemaRefs>
</ds:datastoreItem>
</file>

<file path=customXml/itemProps3.xml><?xml version="1.0" encoding="utf-8"?>
<ds:datastoreItem xmlns:ds="http://schemas.openxmlformats.org/officeDocument/2006/customXml" ds:itemID="{BF1E72C8-D8F2-4845-BF0F-BD659E2AD3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48abb86-6b75-4cc9-8ac7-293f3cb026c9"/>
    <ds:schemaRef ds:uri="b2b8bedc-0fcb-47cf-97d0-3e95d67c49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Fangxing Liu</dc:creator>
  <keywords/>
  <dc:description/>
  <lastModifiedBy>Eric Cutter</lastModifiedBy>
  <revision>23</revision>
  <dcterms:created xsi:type="dcterms:W3CDTF">2022-05-16T22:07:00.0000000Z</dcterms:created>
  <dcterms:modified xsi:type="dcterms:W3CDTF">2022-05-20T19:08:08.1027520Z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0x010100685B365957C7CB40992C2FD98AC36155</vt:lpwstr>
  </property>
</Properties>
</file>